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53EE" w14:textId="77777777" w:rsidR="00ED2C58" w:rsidRDefault="00ED2C58" w:rsidP="00ED2C58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Załącznik B.97</w:t>
      </w:r>
      <w:r w:rsidRPr="006501F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194E7F18" w14:textId="77777777" w:rsidR="00ED2C58" w:rsidRPr="006501FD" w:rsidRDefault="00ED2C58" w:rsidP="00ED2C58">
      <w:pPr>
        <w:tabs>
          <w:tab w:val="left" w:pos="58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36E86F2" w14:textId="77777777" w:rsidR="00ED2C58" w:rsidRPr="009B6E4C" w:rsidRDefault="00ED2C58" w:rsidP="00ED2C58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DOROSŁYCH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CHORYCH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NA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PIERWOTNĄ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MAŁOPŁYTKOWOŚĆ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IMMUNOLOGICZNĄ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: </w:t>
      </w:r>
      <w:r w:rsidRPr="0015336C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D69.3)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ED2C58" w:rsidRPr="00E11FFB" w14:paraId="7EDA20BB" w14:textId="77777777" w:rsidTr="00261969">
        <w:trPr>
          <w:trHeight w:val="567"/>
        </w:trPr>
        <w:tc>
          <w:tcPr>
            <w:tcW w:w="15388" w:type="dxa"/>
            <w:gridSpan w:val="3"/>
            <w:vAlign w:val="center"/>
          </w:tcPr>
          <w:p w14:paraId="723BE557" w14:textId="77777777" w:rsidR="00ED2C58" w:rsidRPr="0015336C" w:rsidRDefault="00ED2C58" w:rsidP="00ED2C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ED2C58" w:rsidRPr="00E11FFB" w14:paraId="37309ED9" w14:textId="77777777" w:rsidTr="00261969">
        <w:trPr>
          <w:trHeight w:val="567"/>
        </w:trPr>
        <w:tc>
          <w:tcPr>
            <w:tcW w:w="5665" w:type="dxa"/>
            <w:vAlign w:val="center"/>
          </w:tcPr>
          <w:p w14:paraId="112695F4" w14:textId="77777777" w:rsidR="00ED2C58" w:rsidRPr="0015336C" w:rsidRDefault="00ED2C58" w:rsidP="00ED2C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10537A66" w14:textId="77777777" w:rsidR="00ED2C58" w:rsidRPr="0015336C" w:rsidRDefault="00ED2C58" w:rsidP="00ED2C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LEKÓW</w:t>
            </w:r>
          </w:p>
          <w:p w14:paraId="6D8B5CD7" w14:textId="77777777" w:rsidR="00ED2C58" w:rsidRPr="0015336C" w:rsidRDefault="00ED2C58" w:rsidP="00ED2C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16759061" w14:textId="4441952A" w:rsidR="00ED2C58" w:rsidRPr="0015336C" w:rsidRDefault="00ED2C58" w:rsidP="00ED2C58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 w:rsidR="000072E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72E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533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ED2C58" w:rsidRPr="00661095" w14:paraId="1C225D5A" w14:textId="77777777" w:rsidTr="00261969">
        <w:trPr>
          <w:trHeight w:val="283"/>
        </w:trPr>
        <w:tc>
          <w:tcPr>
            <w:tcW w:w="5665" w:type="dxa"/>
          </w:tcPr>
          <w:p w14:paraId="71D9C485" w14:textId="0362ABE0" w:rsidR="00ED2C58" w:rsidRPr="00261969" w:rsidRDefault="00ED2C58" w:rsidP="000072E1">
            <w:pPr>
              <w:pStyle w:val="Standard"/>
              <w:spacing w:before="120"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61969">
              <w:rPr>
                <w:rFonts w:cs="Times New Roman"/>
                <w:sz w:val="20"/>
                <w:szCs w:val="20"/>
              </w:rPr>
              <w:t xml:space="preserve">W programie finansuje się leczenie chorych na pierwotną małopłytkowość immunologiczną agonistami receptora </w:t>
            </w:r>
            <w:r w:rsidR="001F735D">
              <w:rPr>
                <w:rFonts w:cs="Times New Roman"/>
                <w:sz w:val="20"/>
                <w:szCs w:val="20"/>
              </w:rPr>
              <w:t xml:space="preserve">dla </w:t>
            </w:r>
            <w:r w:rsidRPr="00261969">
              <w:rPr>
                <w:rFonts w:cs="Times New Roman"/>
                <w:sz w:val="20"/>
                <w:szCs w:val="20"/>
              </w:rPr>
              <w:t xml:space="preserve">trombopoetyny: </w:t>
            </w:r>
          </w:p>
          <w:p w14:paraId="4A5521C5" w14:textId="77777777" w:rsidR="00ED2C58" w:rsidRPr="00261969" w:rsidRDefault="00ED2C58" w:rsidP="005E1CFB">
            <w:pPr>
              <w:pStyle w:val="Standard"/>
              <w:numPr>
                <w:ilvl w:val="3"/>
                <w:numId w:val="52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61969">
              <w:rPr>
                <w:rFonts w:cs="Times New Roman"/>
                <w:sz w:val="20"/>
                <w:szCs w:val="20"/>
              </w:rPr>
              <w:t>eltrombopagiem,</w:t>
            </w:r>
          </w:p>
          <w:p w14:paraId="3EFD5B5B" w14:textId="77777777" w:rsidR="00ED2C58" w:rsidRPr="00261969" w:rsidRDefault="00ED2C58" w:rsidP="005E1CFB">
            <w:pPr>
              <w:pStyle w:val="Standard"/>
              <w:numPr>
                <w:ilvl w:val="3"/>
                <w:numId w:val="52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61969">
              <w:rPr>
                <w:rFonts w:cs="Times New Roman"/>
                <w:sz w:val="20"/>
                <w:szCs w:val="20"/>
              </w:rPr>
              <w:t>romiplostymem,</w:t>
            </w:r>
          </w:p>
          <w:p w14:paraId="55680AC9" w14:textId="5F81B069" w:rsidR="00ED2C58" w:rsidRDefault="00ED2C58" w:rsidP="005E1CFB">
            <w:pPr>
              <w:pStyle w:val="Standard"/>
              <w:numPr>
                <w:ilvl w:val="3"/>
                <w:numId w:val="52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61969">
              <w:rPr>
                <w:rFonts w:cs="Times New Roman"/>
                <w:sz w:val="20"/>
                <w:szCs w:val="20"/>
              </w:rPr>
              <w:t>awatrombopagiem.</w:t>
            </w:r>
          </w:p>
          <w:p w14:paraId="0D59A0F6" w14:textId="77777777" w:rsidR="000072E1" w:rsidRPr="002101CD" w:rsidRDefault="000072E1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5F4ABADB" w14:textId="16A82F2F" w:rsidR="00ED2C58" w:rsidRPr="001D7F69" w:rsidRDefault="00ED2C58" w:rsidP="000072E1">
            <w:pPr>
              <w:pStyle w:val="Standard"/>
              <w:numPr>
                <w:ilvl w:val="0"/>
                <w:numId w:val="53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50EF3D19" w14:textId="77777777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wiek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≥18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lat;</w:t>
            </w:r>
          </w:p>
          <w:p w14:paraId="0507C43F" w14:textId="5D82455E" w:rsidR="00ED2C58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rozpoznanie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pierwotnej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immunologicznej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(ITP);</w:t>
            </w:r>
          </w:p>
          <w:p w14:paraId="16006866" w14:textId="4D26EDF3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niedostateczna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odpowiedź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7A66D4">
              <w:rPr>
                <w:rFonts w:cs="Times New Roman"/>
                <w:sz w:val="20"/>
                <w:szCs w:val="20"/>
              </w:rPr>
              <w:t xml:space="preserve">co najmniej jedną wcześniejszą terapię farmakologiczną, w tym </w:t>
            </w:r>
            <w:r w:rsidR="007A66D4" w:rsidRPr="00C87001">
              <w:rPr>
                <w:rFonts w:cs="Times New Roman"/>
                <w:sz w:val="20"/>
                <w:szCs w:val="20"/>
              </w:rPr>
              <w:t>brak odpowiedzi na kortykosteroidy lub stwierdzenie</w:t>
            </w:r>
            <w:r w:rsidR="007A66D4">
              <w:rPr>
                <w:rFonts w:cs="Times New Roman"/>
                <w:sz w:val="20"/>
                <w:szCs w:val="20"/>
              </w:rPr>
              <w:t xml:space="preserve"> </w:t>
            </w:r>
            <w:r w:rsidR="007A66D4" w:rsidRPr="00C87001">
              <w:rPr>
                <w:rFonts w:cs="Times New Roman"/>
                <w:sz w:val="20"/>
                <w:szCs w:val="20"/>
              </w:rPr>
              <w:t xml:space="preserve">steroidozależności </w:t>
            </w:r>
            <w:r w:rsidR="007A66D4">
              <w:rPr>
                <w:rFonts w:cs="Times New Roman"/>
                <w:sz w:val="20"/>
                <w:szCs w:val="20"/>
              </w:rPr>
              <w:t>lub nietolerancji</w:t>
            </w:r>
            <w:r w:rsidR="005925B8">
              <w:rPr>
                <w:rFonts w:cs="Times New Roman"/>
                <w:sz w:val="20"/>
                <w:szCs w:val="20"/>
              </w:rPr>
              <w:t xml:space="preserve"> kortykosteroidów.</w:t>
            </w:r>
            <w:r w:rsidR="007A66D4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6BDE697" w14:textId="3780A848" w:rsidR="00ED2C58" w:rsidRPr="001D7F69" w:rsidRDefault="00ED2C58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Kryteria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muszą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być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spełnione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łącznie.</w:t>
            </w:r>
          </w:p>
          <w:p w14:paraId="2E43FD28" w14:textId="77777777" w:rsidR="00ED2C58" w:rsidRDefault="00ED2C58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Dodatkowo,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celu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kontynuacji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terapii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mogą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zostać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zakwalifikowani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ramach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„Leczenie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pediatrycznych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przewlekłą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pierwotną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immunologiczną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(ICD-10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D69.3)”,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którzy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osiągnęli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pełnoletniość,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konieczności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spełnienia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pozostałych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kryteriów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warunkiem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niespełniania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kryteriów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programu.</w:t>
            </w:r>
          </w:p>
          <w:p w14:paraId="0153BA42" w14:textId="77777777" w:rsidR="00ED2C58" w:rsidRPr="001D7F69" w:rsidRDefault="00ED2C58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041D1779" w14:textId="77777777" w:rsidR="00ED2C58" w:rsidRPr="001D7F69" w:rsidRDefault="00ED2C58" w:rsidP="000072E1">
            <w:pPr>
              <w:pStyle w:val="Standard"/>
              <w:numPr>
                <w:ilvl w:val="0"/>
                <w:numId w:val="53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Określenie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czasu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w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programie</w:t>
            </w:r>
          </w:p>
          <w:p w14:paraId="6B1A37D9" w14:textId="77777777" w:rsidR="00ED2C58" w:rsidRPr="001D7F69" w:rsidRDefault="00ED2C58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Leczenie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trwa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podjęcia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lekarza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prowadzącego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decyzji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zgodnie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kryteriami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wyłączenia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określonymi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punkcie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3.</w:t>
            </w:r>
          </w:p>
          <w:p w14:paraId="67DD82B0" w14:textId="77777777" w:rsidR="00ED2C58" w:rsidRPr="001D7F69" w:rsidRDefault="00ED2C58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37EB8875" w14:textId="77777777" w:rsidR="00ED2C58" w:rsidRPr="001D7F69" w:rsidRDefault="00ED2C58" w:rsidP="000072E1">
            <w:pPr>
              <w:pStyle w:val="Standard"/>
              <w:numPr>
                <w:ilvl w:val="0"/>
                <w:numId w:val="53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Kryteria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wyłączenia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61DEC745" w14:textId="77777777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nadwrażliwość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substancję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którąkolwiek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substancję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pomocniczą;</w:t>
            </w:r>
          </w:p>
          <w:p w14:paraId="3A8F88F2" w14:textId="77777777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zaburzenia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wątroby:</w:t>
            </w:r>
          </w:p>
          <w:p w14:paraId="2F856E74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wynik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skali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Child-Pugh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eltrombopagiem,</w:t>
            </w:r>
          </w:p>
          <w:p w14:paraId="2CEB1702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wynik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skali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Child-Pugh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7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romiplostymem;</w:t>
            </w:r>
          </w:p>
          <w:p w14:paraId="51DE6A69" w14:textId="77777777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istotne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zwiększenie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aktywności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AlAT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(powyżej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trzykrotności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górnej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granicy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normy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dla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lokalnego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laboratorium)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przypadkach,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gdy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przekroczenie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normy:</w:t>
            </w:r>
          </w:p>
          <w:p w14:paraId="5CA5314F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narastać,</w:t>
            </w:r>
          </w:p>
          <w:p w14:paraId="48618482" w14:textId="77777777" w:rsidR="00ED2C58" w:rsidRPr="001D7F69" w:rsidRDefault="00ED2C58" w:rsidP="000072E1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60253CC7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utrzymywać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≥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F99780F" w14:textId="77777777" w:rsidR="00ED2C58" w:rsidRPr="001D7F69" w:rsidRDefault="00ED2C58" w:rsidP="000072E1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D9FA228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związane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zwiększeniem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stężenia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bezpośredniej,</w:t>
            </w:r>
          </w:p>
          <w:p w14:paraId="401C8FAE" w14:textId="77777777" w:rsidR="00ED2C58" w:rsidRPr="001D7F69" w:rsidRDefault="00ED2C58" w:rsidP="000072E1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22C0D410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będzie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związane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klinicznymi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uszkodzenia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dekompensacji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14:paraId="5A943916" w14:textId="540AF4E4" w:rsidR="00ED2C58" w:rsidRPr="001D7F69" w:rsidRDefault="000072E1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u w:val="single"/>
              </w:rPr>
              <w:t>-</w:t>
            </w:r>
            <w:r w:rsidR="00ED2C58" w:rsidRPr="001D7F69">
              <w:rPr>
                <w:rFonts w:cs="Times New Roman"/>
                <w:sz w:val="20"/>
                <w:szCs w:val="20"/>
                <w:u w:val="single"/>
              </w:rPr>
              <w:t>dotyczy</w:t>
            </w:r>
            <w:r w:rsidR="00ED2C58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  <w:u w:val="single"/>
              </w:rPr>
              <w:t>wyłącznie</w:t>
            </w:r>
            <w:r w:rsidR="00ED2C58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  <w:u w:val="single"/>
              </w:rPr>
              <w:t>chorych</w:t>
            </w:r>
            <w:r w:rsidR="00ED2C58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  <w:u w:val="single"/>
              </w:rPr>
              <w:t>leczonych</w:t>
            </w:r>
            <w:r w:rsidR="00ED2C58">
              <w:rPr>
                <w:rFonts w:cs="Times New Roman"/>
                <w:sz w:val="20"/>
                <w:szCs w:val="20"/>
                <w:u w:val="single"/>
              </w:rPr>
              <w:t xml:space="preserve"> </w:t>
            </w:r>
            <w:r w:rsidR="00ED2C58" w:rsidRPr="002101CD">
              <w:rPr>
                <w:rFonts w:cs="Times New Roman"/>
                <w:b/>
                <w:bCs/>
                <w:sz w:val="20"/>
                <w:szCs w:val="20"/>
                <w:u w:val="single"/>
              </w:rPr>
              <w:t>eltrombopagiem</w:t>
            </w:r>
            <w:r w:rsidR="00ED2C58" w:rsidRPr="002101CD">
              <w:rPr>
                <w:rFonts w:cs="Times New Roman"/>
                <w:b/>
                <w:bCs/>
                <w:sz w:val="20"/>
                <w:szCs w:val="20"/>
              </w:rPr>
              <w:t>;</w:t>
            </w:r>
          </w:p>
          <w:p w14:paraId="035EE194" w14:textId="77777777" w:rsidR="00ED2C58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ciąża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karmienie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piersią;</w:t>
            </w:r>
          </w:p>
          <w:p w14:paraId="6A00A369" w14:textId="77777777" w:rsidR="00ED2C58" w:rsidRPr="005636C0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5636C0">
              <w:rPr>
                <w:rFonts w:cs="Times New Roman"/>
                <w:sz w:val="20"/>
                <w:szCs w:val="20"/>
              </w:rPr>
              <w:t>brak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odpowiedzi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5636C0">
              <w:rPr>
                <w:rFonts w:cs="Times New Roman"/>
                <w:sz w:val="20"/>
                <w:szCs w:val="20"/>
              </w:rPr>
              <w:t>leczenie:</w:t>
            </w:r>
          </w:p>
          <w:p w14:paraId="3589D946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lastRenderedPageBreak/>
              <w:t>eltrombopagiem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dawce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75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mg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podawanej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kolejne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pomiary)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14:paraId="04611C03" w14:textId="77777777" w:rsidR="00ED2C58" w:rsidRPr="001D7F69" w:rsidRDefault="00ED2C58" w:rsidP="000072E1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1C7C60CE" w14:textId="77777777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cs="Times New Roman"/>
                <w:sz w:val="20"/>
                <w:szCs w:val="20"/>
              </w:rPr>
              <w:t>romiplostymem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pomimo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stosowania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maksymalnej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(10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μg/kg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mc.)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kolejne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>,</w:t>
            </w:r>
          </w:p>
          <w:p w14:paraId="6A9A7DC6" w14:textId="77777777" w:rsidR="00ED2C58" w:rsidRPr="001D7F69" w:rsidRDefault="00ED2C58" w:rsidP="000072E1">
            <w:pPr>
              <w:pStyle w:val="Standard"/>
              <w:spacing w:after="60" w:line="276" w:lineRule="auto"/>
              <w:ind w:left="454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cs="Times New Roman"/>
                <w:sz w:val="20"/>
                <w:szCs w:val="20"/>
              </w:rPr>
              <w:t>albo</w:t>
            </w:r>
          </w:p>
          <w:p w14:paraId="43D804F3" w14:textId="0500F0CC" w:rsidR="00ED2C58" w:rsidRPr="001D7F69" w:rsidRDefault="00ED2C58" w:rsidP="000072E1">
            <w:pPr>
              <w:pStyle w:val="Standard"/>
              <w:numPr>
                <w:ilvl w:val="4"/>
                <w:numId w:val="53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awatrombopagiem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dawce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40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mg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raz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na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dobę,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podawanej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przez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4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kolejne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tygodnie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072E1"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leczenia,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jeśli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liczba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płytek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krwi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nie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zwiększy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się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do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≥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50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x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10</w:t>
            </w:r>
            <w:r w:rsidRPr="0035055C">
              <w:rPr>
                <w:rFonts w:eastAsia="Times New Roman" w:cs="Times New Roman"/>
                <w:sz w:val="20"/>
                <w:szCs w:val="20"/>
                <w:vertAlign w:val="superscript"/>
                <w:lang w:eastAsia="pl-PL"/>
              </w:rPr>
              <w:t>9</w:t>
            </w:r>
            <w:r w:rsidRPr="001D7F69">
              <w:rPr>
                <w:rFonts w:eastAsia="Times New Roman" w:cs="Times New Roman"/>
                <w:sz w:val="20"/>
                <w:szCs w:val="20"/>
                <w:lang w:eastAsia="pl-PL"/>
              </w:rPr>
              <w:t>/L;</w:t>
            </w:r>
          </w:p>
          <w:p w14:paraId="5142A6F5" w14:textId="77777777" w:rsidR="00ED2C58" w:rsidRPr="001D7F69" w:rsidRDefault="00ED2C58" w:rsidP="000072E1">
            <w:pPr>
              <w:pStyle w:val="Standard"/>
              <w:numPr>
                <w:ilvl w:val="3"/>
                <w:numId w:val="53"/>
              </w:numPr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1D7F69">
              <w:rPr>
                <w:rFonts w:cs="Times New Roman"/>
                <w:sz w:val="20"/>
                <w:szCs w:val="20"/>
              </w:rPr>
              <w:t>trwała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remisja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choroby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niewymagająca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jakiegokolwiek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leczenia.</w:t>
            </w:r>
          </w:p>
          <w:p w14:paraId="050BE631" w14:textId="77777777" w:rsidR="00ED2C58" w:rsidRPr="001D7F69" w:rsidRDefault="00ED2C58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2D3B85CE" w14:textId="77777777" w:rsidR="00ED2C58" w:rsidRDefault="001F735D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2101CD">
              <w:rPr>
                <w:rFonts w:cs="Times New Roman"/>
                <w:sz w:val="20"/>
                <w:szCs w:val="20"/>
              </w:rPr>
              <w:t xml:space="preserve">W przypadku </w:t>
            </w:r>
            <w:r>
              <w:rPr>
                <w:rFonts w:cs="Times New Roman"/>
                <w:sz w:val="20"/>
                <w:szCs w:val="20"/>
              </w:rPr>
              <w:t xml:space="preserve">braku odpowiedzi na leczenie, wystąpienia </w:t>
            </w:r>
            <w:r w:rsidRPr="002101CD">
              <w:rPr>
                <w:rFonts w:cs="Times New Roman"/>
                <w:sz w:val="20"/>
                <w:szCs w:val="20"/>
              </w:rPr>
              <w:t>działań niepożądanych lub przeciwskazań do stosowania danego leku, lekarz prowadzący może podjąć decyzję o zmianie</w:t>
            </w:r>
            <w:r>
              <w:rPr>
                <w:rFonts w:cs="Times New Roman"/>
                <w:sz w:val="20"/>
                <w:szCs w:val="20"/>
              </w:rPr>
              <w:t xml:space="preserve"> leku w ramach programu lekowego</w:t>
            </w:r>
            <w:r w:rsidR="000072E1">
              <w:rPr>
                <w:rFonts w:cs="Times New Roman"/>
                <w:sz w:val="20"/>
                <w:szCs w:val="20"/>
              </w:rPr>
              <w:t>.</w:t>
            </w:r>
          </w:p>
          <w:p w14:paraId="41C885C1" w14:textId="132929F6" w:rsidR="000072E1" w:rsidRPr="001D7F69" w:rsidRDefault="000072E1" w:rsidP="000072E1">
            <w:pPr>
              <w:pStyle w:val="Standard"/>
              <w:spacing w:after="6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44C009B1" w14:textId="178FB2D4" w:rsidR="00ED2C58" w:rsidRPr="001D7F69" w:rsidRDefault="00ED2C58" w:rsidP="000072E1">
            <w:pPr>
              <w:pStyle w:val="Standard"/>
              <w:numPr>
                <w:ilvl w:val="0"/>
                <w:numId w:val="54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Dawkowanie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eltrombopagu</w:t>
            </w:r>
          </w:p>
          <w:p w14:paraId="16409735" w14:textId="7ECC2689" w:rsidR="00ED2C58" w:rsidRDefault="0002406F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</w:t>
            </w:r>
            <w:r w:rsidR="00ED2C58" w:rsidRPr="001D7F69">
              <w:rPr>
                <w:rFonts w:cs="Times New Roman"/>
                <w:sz w:val="20"/>
                <w:szCs w:val="20"/>
              </w:rPr>
              <w:t>alecana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dawka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początkowa</w:t>
            </w:r>
            <w:r w:rsidR="00C750F5">
              <w:rPr>
                <w:rFonts w:cs="Times New Roman"/>
                <w:sz w:val="20"/>
                <w:szCs w:val="20"/>
              </w:rPr>
              <w:t>: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50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mg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raz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na</w:t>
            </w:r>
            <w:r w:rsidR="00ED2C58">
              <w:rPr>
                <w:rFonts w:cs="Times New Roman"/>
                <w:sz w:val="20"/>
                <w:szCs w:val="20"/>
              </w:rPr>
              <w:t xml:space="preserve"> </w:t>
            </w:r>
            <w:r w:rsidR="00ED2C58" w:rsidRPr="001D7F69">
              <w:rPr>
                <w:rFonts w:cs="Times New Roman"/>
                <w:sz w:val="20"/>
                <w:szCs w:val="20"/>
              </w:rPr>
              <w:t>dobę;</w:t>
            </w:r>
          </w:p>
          <w:p w14:paraId="0C3432CD" w14:textId="4DC98E60" w:rsidR="00F16085" w:rsidRPr="001D7F69" w:rsidRDefault="00ED2C58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C750F5">
              <w:rPr>
                <w:rFonts w:cs="Times New Roman"/>
                <w:sz w:val="20"/>
                <w:szCs w:val="20"/>
              </w:rPr>
              <w:t>dawkę leku ustala się indywidualnie w zależności od liczby płytek krwi u pacjenta – sposób modyfikacji dawkowania oraz postępowanie w okresie czasowego przerwania leczenia zostały określone w aktualnej na dzień wydania decyzji Charakterystyce Produktu Leczniczego.</w:t>
            </w:r>
            <w:r w:rsidR="00C750F5" w:rsidRPr="00C750F5" w:rsidDel="00C750F5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334DA7A" w14:textId="77777777" w:rsidR="00ED2C58" w:rsidRPr="001D7F69" w:rsidRDefault="00ED2C58" w:rsidP="005E1CFB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30E2102E" w14:textId="084334F6" w:rsidR="00F16085" w:rsidRPr="0002406F" w:rsidRDefault="00ED2C58" w:rsidP="000072E1">
            <w:pPr>
              <w:pStyle w:val="Standard"/>
              <w:numPr>
                <w:ilvl w:val="0"/>
                <w:numId w:val="54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romiplostymu</w:t>
            </w:r>
          </w:p>
          <w:p w14:paraId="6B939358" w14:textId="3AB325E3" w:rsidR="00F16085" w:rsidRPr="006C030B" w:rsidRDefault="00C750F5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="00F16085" w:rsidRPr="006C030B">
              <w:rPr>
                <w:rFonts w:cs="Times New Roman"/>
                <w:sz w:val="20"/>
                <w:szCs w:val="20"/>
              </w:rPr>
              <w:t xml:space="preserve">awka początkowa: </w:t>
            </w:r>
            <w:r w:rsidR="00F16085" w:rsidRPr="0021407A">
              <w:rPr>
                <w:rFonts w:cs="Times New Roman"/>
                <w:sz w:val="20"/>
                <w:szCs w:val="20"/>
              </w:rPr>
              <w:t>1 µg/kg mc. raz w tygodniu</w:t>
            </w:r>
            <w:r>
              <w:rPr>
                <w:rFonts w:cs="Times New Roman"/>
                <w:sz w:val="20"/>
                <w:szCs w:val="20"/>
              </w:rPr>
              <w:t xml:space="preserve"> podskórnie</w:t>
            </w:r>
            <w:r w:rsidR="00F16085" w:rsidRPr="006C030B">
              <w:rPr>
                <w:rFonts w:cs="Times New Roman"/>
                <w:sz w:val="20"/>
                <w:szCs w:val="20"/>
              </w:rPr>
              <w:t>, z uwzględnieniem masy ciała pacjenta na początku leczenia</w:t>
            </w:r>
            <w:r w:rsidR="0002406F">
              <w:rPr>
                <w:rFonts w:cs="Times New Roman"/>
                <w:sz w:val="20"/>
                <w:szCs w:val="20"/>
              </w:rPr>
              <w:t>;</w:t>
            </w:r>
          </w:p>
          <w:p w14:paraId="1788809F" w14:textId="5100342E" w:rsidR="00F16085" w:rsidRPr="006C030B" w:rsidRDefault="00C750F5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</w:t>
            </w:r>
            <w:r w:rsidR="00F16085" w:rsidRPr="006C030B">
              <w:rPr>
                <w:rFonts w:cs="Times New Roman"/>
                <w:sz w:val="20"/>
                <w:szCs w:val="20"/>
              </w:rPr>
              <w:t xml:space="preserve">astępnie dawkę leku ustala się </w:t>
            </w:r>
            <w:r w:rsidR="00F16085" w:rsidRPr="00EF35C7">
              <w:rPr>
                <w:rFonts w:cs="Times New Roman"/>
                <w:sz w:val="20"/>
                <w:szCs w:val="20"/>
              </w:rPr>
              <w:t>indywidualnie</w:t>
            </w:r>
            <w:r w:rsidR="00F16085" w:rsidRPr="006C030B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F16085" w:rsidRPr="006C030B">
              <w:rPr>
                <w:rFonts w:cs="Times New Roman"/>
                <w:sz w:val="20"/>
                <w:szCs w:val="20"/>
              </w:rPr>
              <w:t>w zależności od liczby płytek krwi u chorego - zgodnie z aktualną na dzień wydania decyzji Charakterystyką Produktu Leczniczego.</w:t>
            </w:r>
          </w:p>
          <w:p w14:paraId="6CD031A9" w14:textId="28C873E8" w:rsidR="00ED2C58" w:rsidRDefault="00F16085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F16085">
              <w:rPr>
                <w:rFonts w:cs="Times New Roman"/>
                <w:sz w:val="20"/>
                <w:szCs w:val="20"/>
              </w:rPr>
              <w:lastRenderedPageBreak/>
              <w:t>Po wyrażeniu zgody przez lekarza prowadzącego możliwe jest wydanie leku pacjentowi do samodzielnego podania, po odpowiednim przeszkoleniu</w:t>
            </w:r>
            <w:r w:rsidR="00C750F5">
              <w:rPr>
                <w:rFonts w:cs="Times New Roman"/>
                <w:sz w:val="20"/>
                <w:szCs w:val="20"/>
              </w:rPr>
              <w:t xml:space="preserve"> pacjenta</w:t>
            </w:r>
            <w:r w:rsidRPr="00F16085">
              <w:rPr>
                <w:rFonts w:cs="Times New Roman"/>
                <w:sz w:val="20"/>
                <w:szCs w:val="20"/>
              </w:rPr>
              <w:t xml:space="preserve">, o ile nie stanowi to zagrożenia dla </w:t>
            </w:r>
            <w:r w:rsidR="00C750F5">
              <w:rPr>
                <w:rFonts w:cs="Times New Roman"/>
                <w:sz w:val="20"/>
                <w:szCs w:val="20"/>
              </w:rPr>
              <w:t xml:space="preserve">jego </w:t>
            </w:r>
            <w:r w:rsidRPr="00F16085">
              <w:rPr>
                <w:rFonts w:cs="Times New Roman"/>
                <w:sz w:val="20"/>
                <w:szCs w:val="20"/>
              </w:rPr>
              <w:t xml:space="preserve">zdrowia i pozostaje bez wpływu na skuteczność i bezpieczeństwo prowadzenia terapii. Lek powinien być wydany w ilości każdorazowo nie większej niż niezbędna do zabezpieczenia 3 miesięcy terapii. Opisane powyżej postępowanie powinno zostać odnotowane w dokumentacji medycznej pacjenta oraz </w:t>
            </w:r>
            <w:r w:rsidR="0078158D">
              <w:rPr>
                <w:rFonts w:cs="Times New Roman"/>
                <w:sz w:val="20"/>
                <w:szCs w:val="20"/>
              </w:rPr>
              <w:t>w elektronicznym systemie monitorowania programów lekowych</w:t>
            </w:r>
            <w:r w:rsidRPr="00F16085">
              <w:rPr>
                <w:rFonts w:cs="Times New Roman"/>
                <w:sz w:val="20"/>
                <w:szCs w:val="20"/>
              </w:rPr>
              <w:t>. Osobiste stawiennictwo pacjenta w ośrodku prowadzącym terapię nie może być jednak rzadsze niż 4 razy w ciągu każdych kolejnych 12 miesięcy</w:t>
            </w:r>
            <w:r w:rsidR="000072E1">
              <w:rPr>
                <w:rFonts w:cs="Times New Roman"/>
                <w:sz w:val="20"/>
                <w:szCs w:val="20"/>
              </w:rPr>
              <w:t>.</w:t>
            </w:r>
          </w:p>
          <w:p w14:paraId="2D136486" w14:textId="77777777" w:rsidR="000072E1" w:rsidRPr="001D7F69" w:rsidRDefault="000072E1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0B982AB0" w14:textId="1AFD4BC1" w:rsidR="00C750F5" w:rsidRPr="0002406F" w:rsidRDefault="00ED2C58" w:rsidP="000072E1">
            <w:pPr>
              <w:pStyle w:val="Standard"/>
              <w:numPr>
                <w:ilvl w:val="0"/>
                <w:numId w:val="54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Dawkowanie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awatrombopagu</w:t>
            </w:r>
          </w:p>
          <w:p w14:paraId="18EDE566" w14:textId="629965B0" w:rsidR="00C95007" w:rsidRPr="00C750F5" w:rsidRDefault="00F13714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zalecana d</w:t>
            </w:r>
            <w:r w:rsidR="00C95007" w:rsidRPr="006C030B">
              <w:rPr>
                <w:rFonts w:cs="Times New Roman"/>
                <w:sz w:val="20"/>
                <w:szCs w:val="20"/>
              </w:rPr>
              <w:t xml:space="preserve">awka początkowa: </w:t>
            </w:r>
            <w:r w:rsidR="00C95007" w:rsidRPr="0021407A">
              <w:rPr>
                <w:rFonts w:cs="Times New Roman"/>
                <w:sz w:val="20"/>
                <w:szCs w:val="20"/>
              </w:rPr>
              <w:t>20 mg raz na dobę</w:t>
            </w:r>
            <w:r w:rsidR="0002406F">
              <w:rPr>
                <w:rFonts w:cs="Times New Roman"/>
                <w:sz w:val="20"/>
                <w:szCs w:val="20"/>
              </w:rPr>
              <w:t>;</w:t>
            </w:r>
          </w:p>
          <w:p w14:paraId="798631B9" w14:textId="54BE4DF7" w:rsidR="00C95007" w:rsidRDefault="00F13714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</w:t>
            </w:r>
            <w:r w:rsidR="00C95007" w:rsidRPr="006C030B">
              <w:rPr>
                <w:rFonts w:cs="Times New Roman"/>
                <w:sz w:val="20"/>
                <w:szCs w:val="20"/>
              </w:rPr>
              <w:t xml:space="preserve">awkę leku ustala się </w:t>
            </w:r>
            <w:r w:rsidR="00C95007" w:rsidRPr="00EF35C7">
              <w:rPr>
                <w:rFonts w:cs="Times New Roman"/>
                <w:sz w:val="20"/>
                <w:szCs w:val="20"/>
              </w:rPr>
              <w:t>indywidualnie</w:t>
            </w:r>
            <w:r w:rsidR="00C95007" w:rsidRPr="006C030B">
              <w:rPr>
                <w:rFonts w:cs="Times New Roman"/>
                <w:sz w:val="20"/>
                <w:szCs w:val="20"/>
              </w:rPr>
              <w:t xml:space="preserve"> w zależności od liczby płytek krwi u pacjenta - zgodnie z aktualną na dzień wydania decyzji Charakterystyką Produktu Leczniczego</w:t>
            </w:r>
            <w:r w:rsidR="0002406F">
              <w:rPr>
                <w:rFonts w:cs="Times New Roman"/>
                <w:sz w:val="20"/>
                <w:szCs w:val="20"/>
              </w:rPr>
              <w:t>;</w:t>
            </w:r>
          </w:p>
          <w:p w14:paraId="53B3D101" w14:textId="23C1E8C7" w:rsidR="00F13714" w:rsidRDefault="00F13714" w:rsidP="000072E1">
            <w:pPr>
              <w:pStyle w:val="Standard"/>
              <w:numPr>
                <w:ilvl w:val="3"/>
                <w:numId w:val="54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sposób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modyfikacji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dawkowania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postępowanie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przerwania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zostały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określone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aktualnej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dzień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wydania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decyzji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Charakterystyce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Produktu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Leczniczego</w:t>
            </w:r>
            <w:r w:rsidR="0002406F">
              <w:rPr>
                <w:rFonts w:cs="Times New Roman"/>
                <w:sz w:val="20"/>
                <w:szCs w:val="20"/>
              </w:rPr>
              <w:t>.</w:t>
            </w:r>
          </w:p>
          <w:p w14:paraId="7122DB2C" w14:textId="150F4E5E" w:rsidR="00F13714" w:rsidRDefault="00F13714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7C6B98AF" w14:textId="42EF4DB1" w:rsidR="00F13714" w:rsidRPr="006C030B" w:rsidRDefault="00F13714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1FAD92D7" w14:textId="2C2E84D6" w:rsidR="00C95007" w:rsidRPr="00C95007" w:rsidRDefault="00C95007" w:rsidP="005E1CFB">
            <w:pPr>
              <w:pStyle w:val="Standard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12" w:type="dxa"/>
          </w:tcPr>
          <w:p w14:paraId="60E70AA2" w14:textId="6B73F6E1" w:rsidR="00ED2C58" w:rsidRPr="001D7F69" w:rsidRDefault="00ED2C58" w:rsidP="000072E1">
            <w:pPr>
              <w:pStyle w:val="Standard"/>
              <w:numPr>
                <w:ilvl w:val="0"/>
                <w:numId w:val="55"/>
              </w:numPr>
              <w:spacing w:before="120"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Badania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przy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kwalifikacji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1A8FE276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rozmazem;</w:t>
            </w:r>
          </w:p>
          <w:p w14:paraId="1CEF9B24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F1F787D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r w:rsidRPr="001D7F69">
              <w:rPr>
                <w:rFonts w:cs="Times New Roman"/>
                <w:sz w:val="20"/>
                <w:szCs w:val="20"/>
              </w:rPr>
              <w:t>,</w:t>
            </w:r>
          </w:p>
          <w:p w14:paraId="655E2707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AST,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protrombinowy,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stężenie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albumin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romiplostymem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awatrombopagiem</w:t>
            </w:r>
            <w:r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680C2CA7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biopsja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aspiracyjna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szpiku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trepanobiopsja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(wykonana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miesięcy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lekowego)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wieku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powyżej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60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chorych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układowymi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innymi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nieprawidłowymi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objawami;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619FF33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okulistyczne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eltrombopagu</w:t>
            </w:r>
            <w:r w:rsidRPr="001D7F69">
              <w:rPr>
                <w:rFonts w:cs="Times New Roman"/>
                <w:sz w:val="20"/>
                <w:szCs w:val="20"/>
              </w:rPr>
              <w:t>;</w:t>
            </w:r>
          </w:p>
          <w:p w14:paraId="1E601D06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test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ciążowy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kobiet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wieku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rozrodczym.</w:t>
            </w:r>
          </w:p>
          <w:p w14:paraId="68462C52" w14:textId="77777777" w:rsidR="00ED2C58" w:rsidRPr="001D7F69" w:rsidRDefault="00ED2C58" w:rsidP="005E1CFB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671F2805" w14:textId="77777777" w:rsidR="00ED2C58" w:rsidRPr="001D7F69" w:rsidRDefault="00ED2C58" w:rsidP="000072E1">
            <w:pPr>
              <w:pStyle w:val="Standard"/>
              <w:numPr>
                <w:ilvl w:val="0"/>
                <w:numId w:val="55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leczenia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314F26AD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osiągnięcia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stabilnej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(≥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50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000/µl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najmniej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tygodnie):</w:t>
            </w:r>
          </w:p>
          <w:p w14:paraId="448B930A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tydzień:</w:t>
            </w:r>
          </w:p>
          <w:p w14:paraId="3994B875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19752178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lastRenderedPageBreak/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2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tygodnie:</w:t>
            </w:r>
          </w:p>
          <w:p w14:paraId="3D91BE94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(AlAT,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całkowita)</w:t>
            </w:r>
            <w:r>
              <w:rPr>
                <w:rFonts w:cs="Times New Roman"/>
                <w:sz w:val="20"/>
                <w:szCs w:val="20"/>
              </w:rPr>
              <w:t>;</w:t>
            </w:r>
          </w:p>
          <w:p w14:paraId="1B490045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uzyskaniu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stabilnej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liczby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płytek:</w:t>
            </w:r>
          </w:p>
          <w:p w14:paraId="5A9C1C00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miesiąc:</w:t>
            </w:r>
          </w:p>
          <w:p w14:paraId="31EB0A09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rozmazem,</w:t>
            </w:r>
          </w:p>
          <w:p w14:paraId="20ECD38A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r w:rsidRPr="001D7F69">
              <w:rPr>
                <w:rFonts w:cs="Times New Roman"/>
                <w:sz w:val="20"/>
                <w:szCs w:val="20"/>
              </w:rPr>
              <w:t>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(AlAT,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całkowita),</w:t>
            </w:r>
          </w:p>
          <w:p w14:paraId="387C078F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romiplostymem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awatrombopagiem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parametry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czynności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wątroby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(AlAT,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AspAT,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bilirubina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całkowita)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miesiącach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od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rozpoczęcia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romiplostymem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awatrombopagiem;</w:t>
            </w:r>
          </w:p>
          <w:p w14:paraId="093ADC28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przypadku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pojawienia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innych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niż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małopłytkowość,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istotnych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nieprawidłowości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morfologii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trepanobiopsja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szpiku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kostnego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oceną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włóknienia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retikulinowego;</w:t>
            </w:r>
          </w:p>
          <w:p w14:paraId="321CB0E4" w14:textId="77777777" w:rsidR="00ED2C58" w:rsidRPr="001D7F69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przeprowadzane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okresie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czasowego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przerwania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1BAE3D0" w14:textId="77777777" w:rsidR="00ED2C58" w:rsidRPr="001D7F69" w:rsidRDefault="00ED2C58" w:rsidP="000072E1">
            <w:pPr>
              <w:pStyle w:val="Standard"/>
              <w:numPr>
                <w:ilvl w:val="4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wykonywane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4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tygodnie:</w:t>
            </w:r>
          </w:p>
          <w:p w14:paraId="49C252E4" w14:textId="77777777" w:rsidR="00ED2C58" w:rsidRPr="001D7F69" w:rsidRDefault="00ED2C58" w:rsidP="000072E1">
            <w:pPr>
              <w:pStyle w:val="Standard"/>
              <w:numPr>
                <w:ilvl w:val="5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morfologia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krwi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rozmazem;</w:t>
            </w:r>
          </w:p>
          <w:p w14:paraId="52663ED1" w14:textId="67F6CC22" w:rsidR="002613F6" w:rsidRDefault="00ED2C58" w:rsidP="000072E1">
            <w:pPr>
              <w:pStyle w:val="Standard"/>
              <w:numPr>
                <w:ilvl w:val="3"/>
                <w:numId w:val="55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badanie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okulistyczne</w:t>
            </w:r>
            <w:r w:rsidR="00F13714">
              <w:rPr>
                <w:rFonts w:cs="Times New Roman"/>
                <w:sz w:val="20"/>
                <w:szCs w:val="20"/>
              </w:rPr>
              <w:t xml:space="preserve"> co 12 miesięcy </w:t>
            </w:r>
            <w:r w:rsidRPr="001D7F69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2101CD">
              <w:rPr>
                <w:rFonts w:cs="Times New Roman"/>
                <w:b/>
                <w:bCs/>
                <w:sz w:val="20"/>
                <w:szCs w:val="20"/>
              </w:rPr>
              <w:t>eltrombopagiem</w:t>
            </w:r>
            <w:r w:rsidRPr="001D7F69">
              <w:rPr>
                <w:rFonts w:cs="Times New Roman"/>
                <w:sz w:val="20"/>
                <w:szCs w:val="20"/>
              </w:rPr>
              <w:t>.</w:t>
            </w:r>
          </w:p>
          <w:p w14:paraId="60B70668" w14:textId="5F69038F" w:rsidR="002613F6" w:rsidRDefault="002613F6" w:rsidP="005E1CFB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5ABA653B" w14:textId="1693250D" w:rsidR="002613F6" w:rsidRDefault="002613F6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 celu monitorowania skuteczności leczenia lekarz prowadzący określa dla indywidualnego pacjenta </w:t>
            </w:r>
            <w:r w:rsidR="00EA53DA">
              <w:rPr>
                <w:rFonts w:cs="Times New Roman"/>
                <w:sz w:val="20"/>
                <w:szCs w:val="20"/>
              </w:rPr>
              <w:t xml:space="preserve">rodzaj </w:t>
            </w:r>
            <w:r>
              <w:rPr>
                <w:rFonts w:cs="Times New Roman"/>
                <w:sz w:val="20"/>
                <w:szCs w:val="20"/>
              </w:rPr>
              <w:t>odpowiedzi na leczenie w oparciu o liczbę płytek krwi i krwawienia:</w:t>
            </w:r>
          </w:p>
          <w:p w14:paraId="19840E8A" w14:textId="0A55042E" w:rsidR="002613F6" w:rsidRDefault="002613F6" w:rsidP="000072E1">
            <w:pPr>
              <w:pStyle w:val="Standard"/>
              <w:numPr>
                <w:ilvl w:val="3"/>
                <w:numId w:val="5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 (odpowiedź): liczba płytek ≥</w:t>
            </w:r>
            <w:r w:rsidR="00897D86">
              <w:rPr>
                <w:rFonts w:cs="Times New Roman"/>
                <w:sz w:val="20"/>
                <w:szCs w:val="20"/>
              </w:rPr>
              <w:t xml:space="preserve"> 30 G/l </w:t>
            </w:r>
            <w:r w:rsidR="00343128">
              <w:rPr>
                <w:rFonts w:cs="Times New Roman"/>
                <w:sz w:val="20"/>
                <w:szCs w:val="20"/>
              </w:rPr>
              <w:t>oraz</w:t>
            </w:r>
            <w:r w:rsidR="000072E1">
              <w:rPr>
                <w:rFonts w:cs="Times New Roman"/>
                <w:sz w:val="20"/>
                <w:szCs w:val="20"/>
              </w:rPr>
              <w:t xml:space="preserve"> </w:t>
            </w:r>
            <w:r w:rsidR="00897D86">
              <w:rPr>
                <w:rFonts w:cs="Times New Roman"/>
                <w:sz w:val="20"/>
                <w:szCs w:val="20"/>
              </w:rPr>
              <w:t xml:space="preserve">co najmniej </w:t>
            </w:r>
            <w:r w:rsidR="00343128">
              <w:rPr>
                <w:rFonts w:cs="Times New Roman"/>
                <w:sz w:val="20"/>
                <w:szCs w:val="20"/>
              </w:rPr>
              <w:t>jej dwukrotne zwiększenie w stosunku do</w:t>
            </w:r>
            <w:r w:rsidR="000072E1">
              <w:rPr>
                <w:rFonts w:cs="Times New Roman"/>
                <w:sz w:val="20"/>
                <w:szCs w:val="20"/>
              </w:rPr>
              <w:t xml:space="preserve"> </w:t>
            </w:r>
            <w:r w:rsidR="00897D86">
              <w:rPr>
                <w:rFonts w:cs="Times New Roman"/>
                <w:sz w:val="20"/>
                <w:szCs w:val="20"/>
              </w:rPr>
              <w:t>wyjściowej liczby płytek i brak krwawień</w:t>
            </w:r>
            <w:r w:rsidR="000072E1">
              <w:rPr>
                <w:rFonts w:cs="Times New Roman"/>
                <w:sz w:val="20"/>
                <w:szCs w:val="20"/>
              </w:rPr>
              <w:t>;</w:t>
            </w:r>
          </w:p>
          <w:p w14:paraId="29126A88" w14:textId="5C9E194D" w:rsidR="00897D86" w:rsidRDefault="00897D86" w:rsidP="000072E1">
            <w:pPr>
              <w:pStyle w:val="Standard"/>
              <w:numPr>
                <w:ilvl w:val="3"/>
                <w:numId w:val="5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CR (całkowita odpowiedź): liczba płytek ≥ 100 G/l i brak krwawień</w:t>
            </w:r>
            <w:r w:rsidR="000072E1">
              <w:rPr>
                <w:rFonts w:cs="Times New Roman"/>
                <w:sz w:val="20"/>
                <w:szCs w:val="20"/>
              </w:rPr>
              <w:t>;</w:t>
            </w:r>
          </w:p>
          <w:p w14:paraId="52DE266C" w14:textId="375BE1BD" w:rsidR="00897D86" w:rsidRDefault="00897D86" w:rsidP="000072E1">
            <w:pPr>
              <w:pStyle w:val="Standard"/>
              <w:numPr>
                <w:ilvl w:val="3"/>
                <w:numId w:val="56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NR (brak odpowiedzi): liczba płytek &lt; 30 G/l lub niższa od dwukrotności wyjściowej liczby płytek lub obecność krwawień.</w:t>
            </w:r>
          </w:p>
          <w:p w14:paraId="2B5BBDB3" w14:textId="77777777" w:rsidR="000072E1" w:rsidRDefault="000072E1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</w:p>
          <w:p w14:paraId="5806185B" w14:textId="383D8673" w:rsidR="00897D86" w:rsidRPr="002613F6" w:rsidRDefault="00897D86" w:rsidP="000072E1">
            <w:pPr>
              <w:pStyle w:val="Standard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Dane gromadzone są w </w:t>
            </w:r>
            <w:r w:rsidR="0039423B">
              <w:rPr>
                <w:rFonts w:cs="Times New Roman"/>
                <w:sz w:val="20"/>
                <w:szCs w:val="20"/>
              </w:rPr>
              <w:t>elektronicznym systemie monitorowania programów lekowych</w:t>
            </w:r>
            <w:r>
              <w:rPr>
                <w:rFonts w:cs="Times New Roman"/>
                <w:sz w:val="20"/>
                <w:szCs w:val="20"/>
              </w:rPr>
              <w:t xml:space="preserve"> i analizowane przez lekarza prowadzącego, który podejmuje decyzję o zmianie sposobu leczenia lub wyłączeniu </w:t>
            </w:r>
            <w:r w:rsidR="000D4D96">
              <w:rPr>
                <w:rFonts w:cs="Times New Roman"/>
                <w:sz w:val="20"/>
                <w:szCs w:val="20"/>
              </w:rPr>
              <w:t xml:space="preserve">pacjenta </w:t>
            </w:r>
            <w:r>
              <w:rPr>
                <w:rFonts w:cs="Times New Roman"/>
                <w:sz w:val="20"/>
                <w:szCs w:val="20"/>
              </w:rPr>
              <w:t xml:space="preserve">z programu lekowego. </w:t>
            </w:r>
          </w:p>
          <w:p w14:paraId="04D81D52" w14:textId="77777777" w:rsidR="00ED2C58" w:rsidRPr="001D7F69" w:rsidRDefault="00ED2C58" w:rsidP="005E1CFB">
            <w:pPr>
              <w:pStyle w:val="Standard"/>
              <w:spacing w:after="60" w:line="276" w:lineRule="auto"/>
              <w:ind w:left="397"/>
              <w:jc w:val="both"/>
              <w:rPr>
                <w:rFonts w:cs="Times New Roman"/>
                <w:sz w:val="20"/>
                <w:szCs w:val="20"/>
              </w:rPr>
            </w:pPr>
          </w:p>
          <w:p w14:paraId="71E99147" w14:textId="77777777" w:rsidR="00ED2C58" w:rsidRPr="001D7F69" w:rsidRDefault="00ED2C58" w:rsidP="000072E1">
            <w:pPr>
              <w:pStyle w:val="Standard"/>
              <w:numPr>
                <w:ilvl w:val="0"/>
                <w:numId w:val="57"/>
              </w:numPr>
              <w:spacing w:after="60" w:line="276" w:lineRule="auto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D7F69">
              <w:rPr>
                <w:rFonts w:cs="Times New Roman"/>
                <w:b/>
                <w:bCs/>
                <w:sz w:val="20"/>
                <w:szCs w:val="20"/>
              </w:rPr>
              <w:t>Monitorowanie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b/>
                <w:bCs/>
                <w:sz w:val="20"/>
                <w:szCs w:val="20"/>
              </w:rPr>
              <w:t>programu</w:t>
            </w:r>
          </w:p>
          <w:p w14:paraId="28773D5E" w14:textId="77777777" w:rsidR="00ED2C58" w:rsidRPr="001D7F69" w:rsidRDefault="00ED2C58" w:rsidP="000072E1">
            <w:pPr>
              <w:pStyle w:val="Standard"/>
              <w:numPr>
                <w:ilvl w:val="3"/>
                <w:numId w:val="5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gromadzenie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dokumentacji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medycznej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pacjenta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danych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dotyczących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monitorowania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każdorazowe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przedstawianie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żądanie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kontrolerów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Narodowego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Funduszu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Zdrowia;</w:t>
            </w:r>
          </w:p>
          <w:p w14:paraId="0179FA45" w14:textId="4BE24ECD" w:rsidR="00ED2C58" w:rsidRPr="001D7F69" w:rsidRDefault="00ED2C58" w:rsidP="000072E1">
            <w:pPr>
              <w:pStyle w:val="Standard"/>
              <w:numPr>
                <w:ilvl w:val="3"/>
                <w:numId w:val="5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uzupełnianie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danych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zawartych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39423B">
              <w:rPr>
                <w:rFonts w:cs="Times New Roman"/>
                <w:sz w:val="20"/>
                <w:szCs w:val="20"/>
              </w:rPr>
              <w:t>elektronicznym systemie monitorowania programów lekowych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dostępnym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pomocą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aplikacji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internetowej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udostępnionej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rzadziej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niż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miesiące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zakończenie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leczenia;</w:t>
            </w:r>
          </w:p>
          <w:p w14:paraId="45F5DC64" w14:textId="77777777" w:rsidR="00ED2C58" w:rsidRDefault="00ED2C58" w:rsidP="000072E1">
            <w:pPr>
              <w:pStyle w:val="Standard"/>
              <w:numPr>
                <w:ilvl w:val="3"/>
                <w:numId w:val="57"/>
              </w:numPr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1D7F69">
              <w:rPr>
                <w:rFonts w:cs="Times New Roman"/>
                <w:sz w:val="20"/>
                <w:szCs w:val="20"/>
              </w:rPr>
              <w:t>przekazywanie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informacji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sprawozdawczo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-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rozliczeniowych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NFZ: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informacje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przekazuje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się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NFZ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formie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papierowej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lub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formie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elektronicznej,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zgodnie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wymaganiami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opublikowanymi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1D7F69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NFZ</w:t>
            </w:r>
            <w:r w:rsidRPr="001D7F69">
              <w:rPr>
                <w:rFonts w:cs="Times New Roman"/>
                <w:sz w:val="20"/>
                <w:szCs w:val="20"/>
              </w:rPr>
              <w:t>.</w:t>
            </w:r>
          </w:p>
          <w:p w14:paraId="3F82E89B" w14:textId="2BADCF49" w:rsidR="000072E1" w:rsidRPr="001D7F69" w:rsidRDefault="000072E1" w:rsidP="000072E1">
            <w:pPr>
              <w:pStyle w:val="Standard"/>
              <w:spacing w:after="60" w:line="276" w:lineRule="auto"/>
              <w:ind w:left="227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6D63F8DE" w14:textId="77777777" w:rsidR="00ED2C58" w:rsidRPr="00DA2800" w:rsidRDefault="00ED2C58" w:rsidP="00ED2C58">
      <w:pPr>
        <w:spacing w:after="0"/>
        <w:rPr>
          <w:rFonts w:ascii="Times New Roman" w:hAnsi="Times New Roman" w:cs="Times New Roman"/>
          <w:sz w:val="2"/>
          <w:szCs w:val="12"/>
        </w:rPr>
      </w:pPr>
    </w:p>
    <w:p w14:paraId="6AF28B8A" w14:textId="77777777" w:rsidR="00F31A50" w:rsidRPr="00F30E39" w:rsidRDefault="000072E1">
      <w:pPr>
        <w:rPr>
          <w:rFonts w:ascii="Lato" w:hAnsi="Lato"/>
        </w:rPr>
      </w:pPr>
    </w:p>
    <w:sectPr w:rsidR="00F31A50" w:rsidRPr="00F30E39" w:rsidSect="006501F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9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B0D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ED9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DA54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0404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CC30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FE15E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C4423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10A1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72F3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E27AB1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922295"/>
    <w:multiLevelType w:val="hybridMultilevel"/>
    <w:tmpl w:val="9058EEE8"/>
    <w:lvl w:ilvl="0" w:tplc="F9E208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15820"/>
    <w:multiLevelType w:val="multilevel"/>
    <w:tmpl w:val="FB347C6A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1A154E12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1B8C7400"/>
    <w:multiLevelType w:val="hybridMultilevel"/>
    <w:tmpl w:val="79169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C360D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F4C67"/>
    <w:multiLevelType w:val="hybridMultilevel"/>
    <w:tmpl w:val="B0CAE45A"/>
    <w:lvl w:ilvl="0" w:tplc="255A6EBC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 w15:restartNumberingAfterBreak="0">
    <w:nsid w:val="1F9D7840"/>
    <w:multiLevelType w:val="multilevel"/>
    <w:tmpl w:val="FFFC2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3692DD5"/>
    <w:multiLevelType w:val="hybridMultilevel"/>
    <w:tmpl w:val="A9AA899C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E19AE"/>
    <w:multiLevelType w:val="hybridMultilevel"/>
    <w:tmpl w:val="B05071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629324A"/>
    <w:multiLevelType w:val="hybridMultilevel"/>
    <w:tmpl w:val="14E846C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8BC5CF6"/>
    <w:multiLevelType w:val="hybridMultilevel"/>
    <w:tmpl w:val="0DD4EB20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5546A0"/>
    <w:multiLevelType w:val="multilevel"/>
    <w:tmpl w:val="9A621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C1D0881"/>
    <w:multiLevelType w:val="hybridMultilevel"/>
    <w:tmpl w:val="2A7EA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2690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2F9943C8"/>
    <w:multiLevelType w:val="hybridMultilevel"/>
    <w:tmpl w:val="EF3A06DE"/>
    <w:lvl w:ilvl="0" w:tplc="B3BE3448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FE93483"/>
    <w:multiLevelType w:val="hybridMultilevel"/>
    <w:tmpl w:val="A10AA76A"/>
    <w:lvl w:ilvl="0" w:tplc="19DEA458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AD516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334771FC"/>
    <w:multiLevelType w:val="hybridMultilevel"/>
    <w:tmpl w:val="53D6CC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AE2B38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91F"/>
    <w:multiLevelType w:val="multilevel"/>
    <w:tmpl w:val="8BB655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448617D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4B4307E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4C6E4CE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5D6E7D"/>
    <w:multiLevelType w:val="hybridMultilevel"/>
    <w:tmpl w:val="3C2AA884"/>
    <w:lvl w:ilvl="0" w:tplc="50EE29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AB1A33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7773A9C"/>
    <w:multiLevelType w:val="multilevel"/>
    <w:tmpl w:val="6D782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" w:hanging="1440"/>
      </w:pPr>
      <w:rPr>
        <w:rFonts w:hint="default"/>
      </w:rPr>
    </w:lvl>
  </w:abstractNum>
  <w:abstractNum w:abstractNumId="39" w15:restartNumberingAfterBreak="0">
    <w:nsid w:val="58F9032B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476506F"/>
    <w:multiLevelType w:val="hybridMultilevel"/>
    <w:tmpl w:val="7E1C6F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007DF6"/>
    <w:multiLevelType w:val="hybridMultilevel"/>
    <w:tmpl w:val="4D24E75E"/>
    <w:lvl w:ilvl="0" w:tplc="FA7E5B1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03E76"/>
    <w:multiLevelType w:val="hybridMultilevel"/>
    <w:tmpl w:val="DBA25B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FB1C8D"/>
    <w:multiLevelType w:val="hybridMultilevel"/>
    <w:tmpl w:val="FCCCB662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425EB6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69D84876"/>
    <w:multiLevelType w:val="hybridMultilevel"/>
    <w:tmpl w:val="FACCFFD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0A0BCE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6C555626"/>
    <w:multiLevelType w:val="multilevel"/>
    <w:tmpl w:val="5B507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04E3C24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72306BCF"/>
    <w:multiLevelType w:val="hybridMultilevel"/>
    <w:tmpl w:val="4D18EEDE"/>
    <w:lvl w:ilvl="0" w:tplc="54D2841E">
      <w:start w:val="1"/>
      <w:numFmt w:val="decimal"/>
      <w:lvlText w:val="%1)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3401B1"/>
    <w:multiLevelType w:val="hybridMultilevel"/>
    <w:tmpl w:val="C2862BE6"/>
    <w:lvl w:ilvl="0" w:tplc="E5CC5B82">
      <w:start w:val="1"/>
      <w:numFmt w:val="decimal"/>
      <w:lvlText w:val="%1)"/>
      <w:lvlJc w:val="righ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6B1869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775422A9"/>
    <w:multiLevelType w:val="hybridMultilevel"/>
    <w:tmpl w:val="B72CA7D8"/>
    <w:lvl w:ilvl="0" w:tplc="50EE299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9487F19"/>
    <w:multiLevelType w:val="hybridMultilevel"/>
    <w:tmpl w:val="07F8398A"/>
    <w:lvl w:ilvl="0" w:tplc="E5CC5B82">
      <w:start w:val="1"/>
      <w:numFmt w:val="decimal"/>
      <w:lvlText w:val="%1)"/>
      <w:lvlJc w:val="right"/>
      <w:pPr>
        <w:ind w:left="928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6E3CCD"/>
    <w:multiLevelType w:val="hybridMultilevel"/>
    <w:tmpl w:val="978C77CA"/>
    <w:lvl w:ilvl="0" w:tplc="255A6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711362">
    <w:abstractNumId w:val="21"/>
  </w:num>
  <w:num w:numId="2" w16cid:durableId="1977828796">
    <w:abstractNumId w:val="37"/>
  </w:num>
  <w:num w:numId="3" w16cid:durableId="2060204503">
    <w:abstractNumId w:val="34"/>
  </w:num>
  <w:num w:numId="4" w16cid:durableId="568074357">
    <w:abstractNumId w:val="43"/>
  </w:num>
  <w:num w:numId="5" w16cid:durableId="1662345883">
    <w:abstractNumId w:val="25"/>
  </w:num>
  <w:num w:numId="6" w16cid:durableId="315033576">
    <w:abstractNumId w:val="45"/>
  </w:num>
  <w:num w:numId="7" w16cid:durableId="130826118">
    <w:abstractNumId w:val="14"/>
  </w:num>
  <w:num w:numId="8" w16cid:durableId="1182277099">
    <w:abstractNumId w:val="35"/>
  </w:num>
  <w:num w:numId="9" w16cid:durableId="1963464622">
    <w:abstractNumId w:val="49"/>
  </w:num>
  <w:num w:numId="10" w16cid:durableId="455098959">
    <w:abstractNumId w:val="28"/>
  </w:num>
  <w:num w:numId="11" w16cid:durableId="25721742">
    <w:abstractNumId w:val="24"/>
  </w:num>
  <w:num w:numId="12" w16cid:durableId="1054505939">
    <w:abstractNumId w:val="40"/>
  </w:num>
  <w:num w:numId="13" w16cid:durableId="331102720">
    <w:abstractNumId w:val="50"/>
  </w:num>
  <w:num w:numId="14" w16cid:durableId="1656184103">
    <w:abstractNumId w:val="27"/>
  </w:num>
  <w:num w:numId="15" w16cid:durableId="1545557250">
    <w:abstractNumId w:val="47"/>
  </w:num>
  <w:num w:numId="16" w16cid:durableId="1834368901">
    <w:abstractNumId w:val="16"/>
  </w:num>
  <w:num w:numId="17" w16cid:durableId="531571044">
    <w:abstractNumId w:val="30"/>
  </w:num>
  <w:num w:numId="18" w16cid:durableId="678434258">
    <w:abstractNumId w:val="38"/>
  </w:num>
  <w:num w:numId="19" w16cid:durableId="1028412723">
    <w:abstractNumId w:val="41"/>
  </w:num>
  <w:num w:numId="20" w16cid:durableId="1258752527">
    <w:abstractNumId w:val="11"/>
  </w:num>
  <w:num w:numId="21" w16cid:durableId="344213362">
    <w:abstractNumId w:val="17"/>
  </w:num>
  <w:num w:numId="22" w16cid:durableId="878935230">
    <w:abstractNumId w:val="53"/>
  </w:num>
  <w:num w:numId="23" w16cid:durableId="1259950073">
    <w:abstractNumId w:val="52"/>
  </w:num>
  <w:num w:numId="24" w16cid:durableId="1337728221">
    <w:abstractNumId w:val="19"/>
  </w:num>
  <w:num w:numId="25" w16cid:durableId="1984504167">
    <w:abstractNumId w:val="29"/>
  </w:num>
  <w:num w:numId="26" w16cid:durableId="853886593">
    <w:abstractNumId w:val="18"/>
  </w:num>
  <w:num w:numId="27" w16cid:durableId="265701586">
    <w:abstractNumId w:val="20"/>
  </w:num>
  <w:num w:numId="28" w16cid:durableId="1669206683">
    <w:abstractNumId w:val="39"/>
  </w:num>
  <w:num w:numId="29" w16cid:durableId="1747458338">
    <w:abstractNumId w:val="39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0" w16cid:durableId="619262793">
    <w:abstractNumId w:val="39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397" w:hanging="227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3)"/>
        <w:lvlJc w:val="right"/>
        <w:pPr>
          <w:ind w:left="567" w:hanging="22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1" w16cid:durableId="1206454353">
    <w:abstractNumId w:val="8"/>
  </w:num>
  <w:num w:numId="32" w16cid:durableId="833568037">
    <w:abstractNumId w:val="3"/>
  </w:num>
  <w:num w:numId="33" w16cid:durableId="2053772390">
    <w:abstractNumId w:val="2"/>
  </w:num>
  <w:num w:numId="34" w16cid:durableId="1093817268">
    <w:abstractNumId w:val="1"/>
  </w:num>
  <w:num w:numId="35" w16cid:durableId="1781147025">
    <w:abstractNumId w:val="0"/>
  </w:num>
  <w:num w:numId="36" w16cid:durableId="1815174798">
    <w:abstractNumId w:val="9"/>
  </w:num>
  <w:num w:numId="37" w16cid:durableId="753362173">
    <w:abstractNumId w:val="7"/>
  </w:num>
  <w:num w:numId="38" w16cid:durableId="189296698">
    <w:abstractNumId w:val="6"/>
  </w:num>
  <w:num w:numId="39" w16cid:durableId="932595506">
    <w:abstractNumId w:val="5"/>
  </w:num>
  <w:num w:numId="40" w16cid:durableId="66389795">
    <w:abstractNumId w:val="4"/>
  </w:num>
  <w:num w:numId="41" w16cid:durableId="1977835986">
    <w:abstractNumId w:val="10"/>
  </w:num>
  <w:num w:numId="42" w16cid:durableId="1999261297">
    <w:abstractNumId w:val="13"/>
  </w:num>
  <w:num w:numId="43" w16cid:durableId="53550440">
    <w:abstractNumId w:val="51"/>
  </w:num>
  <w:num w:numId="44" w16cid:durableId="1367370231">
    <w:abstractNumId w:val="15"/>
  </w:num>
  <w:num w:numId="45" w16cid:durableId="1673796697">
    <w:abstractNumId w:val="54"/>
  </w:num>
  <w:num w:numId="46" w16cid:durableId="717782814">
    <w:abstractNumId w:val="32"/>
  </w:num>
  <w:num w:numId="47" w16cid:durableId="1962572676">
    <w:abstractNumId w:val="48"/>
  </w:num>
  <w:num w:numId="48" w16cid:durableId="1044795979">
    <w:abstractNumId w:val="26"/>
  </w:num>
  <w:num w:numId="49" w16cid:durableId="236785254">
    <w:abstractNumId w:val="31"/>
  </w:num>
  <w:num w:numId="50" w16cid:durableId="1197960776">
    <w:abstractNumId w:val="22"/>
  </w:num>
  <w:num w:numId="51" w16cid:durableId="804541898">
    <w:abstractNumId w:val="42"/>
  </w:num>
  <w:num w:numId="52" w16cid:durableId="60644443">
    <w:abstractNumId w:val="46"/>
  </w:num>
  <w:num w:numId="53" w16cid:durableId="1111240141">
    <w:abstractNumId w:val="44"/>
  </w:num>
  <w:num w:numId="54" w16cid:durableId="1439328558">
    <w:abstractNumId w:val="33"/>
  </w:num>
  <w:num w:numId="55" w16cid:durableId="568469119">
    <w:abstractNumId w:val="23"/>
  </w:num>
  <w:num w:numId="56" w16cid:durableId="1191721082">
    <w:abstractNumId w:val="36"/>
  </w:num>
  <w:num w:numId="57" w16cid:durableId="677077088">
    <w:abstractNumId w:val="1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C58"/>
    <w:rsid w:val="000072E1"/>
    <w:rsid w:val="0002406F"/>
    <w:rsid w:val="000D4D96"/>
    <w:rsid w:val="00153BB5"/>
    <w:rsid w:val="001F735D"/>
    <w:rsid w:val="002101CD"/>
    <w:rsid w:val="0021407A"/>
    <w:rsid w:val="002613F6"/>
    <w:rsid w:val="00266A9B"/>
    <w:rsid w:val="00343128"/>
    <w:rsid w:val="0039423B"/>
    <w:rsid w:val="003D33E0"/>
    <w:rsid w:val="004A2DD1"/>
    <w:rsid w:val="004D291F"/>
    <w:rsid w:val="00546110"/>
    <w:rsid w:val="005925B8"/>
    <w:rsid w:val="005E1CFB"/>
    <w:rsid w:val="00650EB2"/>
    <w:rsid w:val="00730F52"/>
    <w:rsid w:val="0078158D"/>
    <w:rsid w:val="007A66D4"/>
    <w:rsid w:val="00802F0F"/>
    <w:rsid w:val="00826C22"/>
    <w:rsid w:val="00897D86"/>
    <w:rsid w:val="009B6B33"/>
    <w:rsid w:val="00A830B5"/>
    <w:rsid w:val="00A86D34"/>
    <w:rsid w:val="00AA5E03"/>
    <w:rsid w:val="00BD6714"/>
    <w:rsid w:val="00C03F15"/>
    <w:rsid w:val="00C750F5"/>
    <w:rsid w:val="00C95007"/>
    <w:rsid w:val="00CB6562"/>
    <w:rsid w:val="00CC30A5"/>
    <w:rsid w:val="00D85F72"/>
    <w:rsid w:val="00E2271E"/>
    <w:rsid w:val="00EA53DA"/>
    <w:rsid w:val="00ED2C58"/>
    <w:rsid w:val="00ED7902"/>
    <w:rsid w:val="00F13714"/>
    <w:rsid w:val="00F16085"/>
    <w:rsid w:val="00F30E39"/>
    <w:rsid w:val="00F3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BE19"/>
  <w15:chartTrackingRefBased/>
  <w15:docId w15:val="{54A69D90-65BF-4A26-BE6A-E5B43F68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2C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D2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2C5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2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C5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D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2C58"/>
  </w:style>
  <w:style w:type="paragraph" w:styleId="Stopka">
    <w:name w:val="footer"/>
    <w:basedOn w:val="Normalny"/>
    <w:link w:val="StopkaZnak"/>
    <w:uiPriority w:val="99"/>
    <w:unhideWhenUsed/>
    <w:rsid w:val="00ED2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2C58"/>
  </w:style>
  <w:style w:type="paragraph" w:styleId="Bezodstpw">
    <w:name w:val="No Spacing"/>
    <w:basedOn w:val="Normalny"/>
    <w:uiPriority w:val="1"/>
    <w:qFormat/>
    <w:rsid w:val="00ED2C58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table" w:styleId="Jasnecieniowanie">
    <w:name w:val="Light Shading"/>
    <w:basedOn w:val="Standardowy"/>
    <w:uiPriority w:val="60"/>
    <w:rsid w:val="00ED2C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ED2C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C58"/>
    <w:rPr>
      <w:b/>
      <w:bCs/>
      <w:sz w:val="20"/>
      <w:szCs w:val="20"/>
    </w:rPr>
  </w:style>
  <w:style w:type="paragraph" w:customStyle="1" w:styleId="Standard">
    <w:name w:val="Standard"/>
    <w:rsid w:val="00ED2C5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ED2C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Morawiec Wioleta</dc:creator>
  <cp:keywords/>
  <dc:description/>
  <cp:lastModifiedBy>Królak-Buzakowska Joanna</cp:lastModifiedBy>
  <cp:revision>3</cp:revision>
  <dcterms:created xsi:type="dcterms:W3CDTF">2023-04-03T09:19:00Z</dcterms:created>
  <dcterms:modified xsi:type="dcterms:W3CDTF">2023-04-03T09:25:00Z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93e14edc6a9c262d834eb9c2908b76d4eec141c7827a945109e2df6856ae9447</vt:lpwstr>
  </property>
</Properties>
</file>